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8" w:rsidRDefault="002C5B7F" w:rsidP="00C55692">
      <w:pPr>
        <w:pStyle w:val="Title"/>
        <w:rPr>
          <w:lang w:val="en-US"/>
        </w:rPr>
      </w:pPr>
      <w:r>
        <w:rPr>
          <w:lang w:val="en-US"/>
        </w:rPr>
        <w:t>Corn/Soy</w:t>
      </w:r>
      <w:r w:rsidR="00C55692">
        <w:rPr>
          <w:lang w:val="en-US"/>
        </w:rPr>
        <w:t xml:space="preserve"> Suitability Analysis</w:t>
      </w:r>
    </w:p>
    <w:sdt>
      <w:sdtPr>
        <w:rPr>
          <w:rFonts w:asciiTheme="minorHAnsi" w:eastAsiaTheme="minorHAnsi" w:hAnsiTheme="minorHAnsi" w:cstheme="minorBidi"/>
          <w:b w:val="0"/>
          <w:bCs w:val="0"/>
          <w:color w:val="auto"/>
          <w:sz w:val="22"/>
          <w:szCs w:val="22"/>
          <w:lang w:val="en-CA" w:eastAsia="en-US"/>
        </w:rPr>
        <w:id w:val="2019508027"/>
        <w:docPartObj>
          <w:docPartGallery w:val="Table of Contents"/>
          <w:docPartUnique/>
        </w:docPartObj>
      </w:sdtPr>
      <w:sdtEndPr>
        <w:rPr>
          <w:noProof/>
        </w:rPr>
      </w:sdtEndPr>
      <w:sdtContent>
        <w:p w:rsidR="00404EEA" w:rsidRDefault="00404EEA">
          <w:pPr>
            <w:pStyle w:val="TOCHeading"/>
          </w:pPr>
          <w:r>
            <w:t>Table of Contents</w:t>
          </w:r>
        </w:p>
        <w:p w:rsidR="0003397D" w:rsidRDefault="00404EE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5775945" w:history="1">
            <w:r w:rsidR="0003397D" w:rsidRPr="0045457A">
              <w:rPr>
                <w:rStyle w:val="Hyperlink"/>
                <w:noProof/>
                <w:lang w:val="en-US"/>
              </w:rPr>
              <w:t>Crop Heat Units</w:t>
            </w:r>
            <w:r w:rsidR="0003397D">
              <w:rPr>
                <w:noProof/>
                <w:webHidden/>
              </w:rPr>
              <w:tab/>
            </w:r>
            <w:r w:rsidR="0003397D">
              <w:rPr>
                <w:noProof/>
                <w:webHidden/>
              </w:rPr>
              <w:fldChar w:fldCharType="begin"/>
            </w:r>
            <w:r w:rsidR="0003397D">
              <w:rPr>
                <w:noProof/>
                <w:webHidden/>
              </w:rPr>
              <w:instrText xml:space="preserve"> PAGEREF _Toc505775945 \h </w:instrText>
            </w:r>
            <w:r w:rsidR="0003397D">
              <w:rPr>
                <w:noProof/>
                <w:webHidden/>
              </w:rPr>
            </w:r>
            <w:r w:rsidR="0003397D">
              <w:rPr>
                <w:noProof/>
                <w:webHidden/>
              </w:rPr>
              <w:fldChar w:fldCharType="separate"/>
            </w:r>
            <w:r w:rsidR="0003397D">
              <w:rPr>
                <w:noProof/>
                <w:webHidden/>
              </w:rPr>
              <w:t>1</w:t>
            </w:r>
            <w:r w:rsidR="0003397D">
              <w:rPr>
                <w:noProof/>
                <w:webHidden/>
              </w:rPr>
              <w:fldChar w:fldCharType="end"/>
            </w:r>
          </w:hyperlink>
        </w:p>
        <w:p w:rsidR="0003397D" w:rsidRDefault="005C740C">
          <w:pPr>
            <w:pStyle w:val="TOC1"/>
            <w:tabs>
              <w:tab w:val="right" w:leader="dot" w:pos="9350"/>
            </w:tabs>
            <w:rPr>
              <w:rFonts w:eastAsiaTheme="minorEastAsia"/>
              <w:noProof/>
              <w:lang w:val="en-US"/>
            </w:rPr>
          </w:pPr>
          <w:hyperlink w:anchor="_Toc505775946" w:history="1">
            <w:r w:rsidR="0003397D" w:rsidRPr="0045457A">
              <w:rPr>
                <w:rStyle w:val="Hyperlink"/>
                <w:noProof/>
                <w:lang w:val="en-US"/>
              </w:rPr>
              <w:t>Slope</w:t>
            </w:r>
            <w:r w:rsidR="0003397D">
              <w:rPr>
                <w:noProof/>
                <w:webHidden/>
              </w:rPr>
              <w:tab/>
            </w:r>
            <w:r w:rsidR="0003397D">
              <w:rPr>
                <w:noProof/>
                <w:webHidden/>
              </w:rPr>
              <w:fldChar w:fldCharType="begin"/>
            </w:r>
            <w:r w:rsidR="0003397D">
              <w:rPr>
                <w:noProof/>
                <w:webHidden/>
              </w:rPr>
              <w:instrText xml:space="preserve"> PAGEREF _Toc505775946 \h </w:instrText>
            </w:r>
            <w:r w:rsidR="0003397D">
              <w:rPr>
                <w:noProof/>
                <w:webHidden/>
              </w:rPr>
            </w:r>
            <w:r w:rsidR="0003397D">
              <w:rPr>
                <w:noProof/>
                <w:webHidden/>
              </w:rPr>
              <w:fldChar w:fldCharType="separate"/>
            </w:r>
            <w:r w:rsidR="0003397D">
              <w:rPr>
                <w:noProof/>
                <w:webHidden/>
              </w:rPr>
              <w:t>2</w:t>
            </w:r>
            <w:r w:rsidR="0003397D">
              <w:rPr>
                <w:noProof/>
                <w:webHidden/>
              </w:rPr>
              <w:fldChar w:fldCharType="end"/>
            </w:r>
          </w:hyperlink>
        </w:p>
        <w:p w:rsidR="0003397D" w:rsidRDefault="005C740C">
          <w:pPr>
            <w:pStyle w:val="TOC1"/>
            <w:tabs>
              <w:tab w:val="right" w:leader="dot" w:pos="9350"/>
            </w:tabs>
            <w:rPr>
              <w:rFonts w:eastAsiaTheme="minorEastAsia"/>
              <w:noProof/>
              <w:lang w:val="en-US"/>
            </w:rPr>
          </w:pPr>
          <w:hyperlink w:anchor="_Toc505775947" w:history="1">
            <w:r w:rsidR="0003397D" w:rsidRPr="0045457A">
              <w:rPr>
                <w:rStyle w:val="Hyperlink"/>
                <w:noProof/>
                <w:lang w:val="en-US"/>
              </w:rPr>
              <w:t>Depth to Water Table</w:t>
            </w:r>
            <w:r w:rsidR="0003397D">
              <w:rPr>
                <w:noProof/>
                <w:webHidden/>
              </w:rPr>
              <w:tab/>
            </w:r>
            <w:r w:rsidR="0003397D">
              <w:rPr>
                <w:noProof/>
                <w:webHidden/>
              </w:rPr>
              <w:fldChar w:fldCharType="begin"/>
            </w:r>
            <w:r w:rsidR="0003397D">
              <w:rPr>
                <w:noProof/>
                <w:webHidden/>
              </w:rPr>
              <w:instrText xml:space="preserve"> PAGEREF _Toc505775947 \h </w:instrText>
            </w:r>
            <w:r w:rsidR="0003397D">
              <w:rPr>
                <w:noProof/>
                <w:webHidden/>
              </w:rPr>
            </w:r>
            <w:r w:rsidR="0003397D">
              <w:rPr>
                <w:noProof/>
                <w:webHidden/>
              </w:rPr>
              <w:fldChar w:fldCharType="separate"/>
            </w:r>
            <w:r w:rsidR="0003397D">
              <w:rPr>
                <w:noProof/>
                <w:webHidden/>
              </w:rPr>
              <w:t>3</w:t>
            </w:r>
            <w:r w:rsidR="0003397D">
              <w:rPr>
                <w:noProof/>
                <w:webHidden/>
              </w:rPr>
              <w:fldChar w:fldCharType="end"/>
            </w:r>
          </w:hyperlink>
        </w:p>
        <w:p w:rsidR="0003397D" w:rsidRDefault="005C740C">
          <w:pPr>
            <w:pStyle w:val="TOC1"/>
            <w:tabs>
              <w:tab w:val="right" w:leader="dot" w:pos="9350"/>
            </w:tabs>
            <w:rPr>
              <w:rFonts w:eastAsiaTheme="minorEastAsia"/>
              <w:noProof/>
              <w:lang w:val="en-US"/>
            </w:rPr>
          </w:pPr>
          <w:hyperlink w:anchor="_Toc505775948" w:history="1">
            <w:r w:rsidR="0003397D" w:rsidRPr="0045457A">
              <w:rPr>
                <w:rStyle w:val="Hyperlink"/>
                <w:noProof/>
                <w:lang w:val="en-US"/>
              </w:rPr>
              <w:t>Chance of Frost After May 25</w:t>
            </w:r>
            <w:r w:rsidR="0003397D">
              <w:rPr>
                <w:noProof/>
                <w:webHidden/>
              </w:rPr>
              <w:tab/>
            </w:r>
            <w:r w:rsidR="0003397D">
              <w:rPr>
                <w:noProof/>
                <w:webHidden/>
              </w:rPr>
              <w:fldChar w:fldCharType="begin"/>
            </w:r>
            <w:r w:rsidR="0003397D">
              <w:rPr>
                <w:noProof/>
                <w:webHidden/>
              </w:rPr>
              <w:instrText xml:space="preserve"> PAGEREF _Toc505775948 \h </w:instrText>
            </w:r>
            <w:r w:rsidR="0003397D">
              <w:rPr>
                <w:noProof/>
                <w:webHidden/>
              </w:rPr>
            </w:r>
            <w:r w:rsidR="0003397D">
              <w:rPr>
                <w:noProof/>
                <w:webHidden/>
              </w:rPr>
              <w:fldChar w:fldCharType="separate"/>
            </w:r>
            <w:r w:rsidR="0003397D">
              <w:rPr>
                <w:noProof/>
                <w:webHidden/>
              </w:rPr>
              <w:t>4</w:t>
            </w:r>
            <w:r w:rsidR="0003397D">
              <w:rPr>
                <w:noProof/>
                <w:webHidden/>
              </w:rPr>
              <w:fldChar w:fldCharType="end"/>
            </w:r>
          </w:hyperlink>
        </w:p>
        <w:p w:rsidR="0003397D" w:rsidRDefault="005C740C">
          <w:pPr>
            <w:pStyle w:val="TOC1"/>
            <w:tabs>
              <w:tab w:val="right" w:leader="dot" w:pos="9350"/>
            </w:tabs>
            <w:rPr>
              <w:rFonts w:eastAsiaTheme="minorEastAsia"/>
              <w:noProof/>
              <w:lang w:val="en-US"/>
            </w:rPr>
          </w:pPr>
          <w:hyperlink w:anchor="_Toc505775949" w:history="1">
            <w:r w:rsidR="0003397D" w:rsidRPr="0045457A">
              <w:rPr>
                <w:rStyle w:val="Hyperlink"/>
                <w:noProof/>
                <w:lang w:val="en-US"/>
              </w:rPr>
              <w:t>Final Analysis</w:t>
            </w:r>
            <w:r w:rsidR="0003397D">
              <w:rPr>
                <w:noProof/>
                <w:webHidden/>
              </w:rPr>
              <w:tab/>
            </w:r>
            <w:r w:rsidR="0003397D">
              <w:rPr>
                <w:noProof/>
                <w:webHidden/>
              </w:rPr>
              <w:fldChar w:fldCharType="begin"/>
            </w:r>
            <w:r w:rsidR="0003397D">
              <w:rPr>
                <w:noProof/>
                <w:webHidden/>
              </w:rPr>
              <w:instrText xml:space="preserve"> PAGEREF _Toc505775949 \h </w:instrText>
            </w:r>
            <w:r w:rsidR="0003397D">
              <w:rPr>
                <w:noProof/>
                <w:webHidden/>
              </w:rPr>
            </w:r>
            <w:r w:rsidR="0003397D">
              <w:rPr>
                <w:noProof/>
                <w:webHidden/>
              </w:rPr>
              <w:fldChar w:fldCharType="separate"/>
            </w:r>
            <w:r w:rsidR="0003397D">
              <w:rPr>
                <w:noProof/>
                <w:webHidden/>
              </w:rPr>
              <w:t>5</w:t>
            </w:r>
            <w:r w:rsidR="0003397D">
              <w:rPr>
                <w:noProof/>
                <w:webHidden/>
              </w:rPr>
              <w:fldChar w:fldCharType="end"/>
            </w:r>
          </w:hyperlink>
        </w:p>
        <w:p w:rsidR="00404EEA" w:rsidRPr="0003397D" w:rsidRDefault="00404EEA" w:rsidP="00404EEA">
          <w:r>
            <w:rPr>
              <w:b/>
              <w:bCs/>
              <w:noProof/>
            </w:rPr>
            <w:fldChar w:fldCharType="end"/>
          </w:r>
        </w:p>
      </w:sdtContent>
    </w:sdt>
    <w:p w:rsidR="00C55692" w:rsidRDefault="0003397D" w:rsidP="00C55692">
      <w:pPr>
        <w:pStyle w:val="Heading1"/>
        <w:rPr>
          <w:lang w:val="en-US"/>
        </w:rPr>
      </w:pPr>
      <w:bookmarkStart w:id="0" w:name="_Toc505775945"/>
      <w:r>
        <w:rPr>
          <w:lang w:val="en-US"/>
        </w:rPr>
        <w:t>Crop</w:t>
      </w:r>
      <w:r w:rsidR="002C5B7F">
        <w:rPr>
          <w:lang w:val="en-US"/>
        </w:rPr>
        <w:t xml:space="preserve"> Heat Units</w:t>
      </w:r>
      <w:bookmarkEnd w:id="0"/>
    </w:p>
    <w:p w:rsidR="008A709B" w:rsidRDefault="0003397D" w:rsidP="00DF7150">
      <w:pPr>
        <w:rPr>
          <w:rFonts w:eastAsiaTheme="minorEastAsia"/>
          <w:lang w:val="en-US"/>
        </w:rPr>
      </w:pPr>
      <w:bookmarkStart w:id="1" w:name="_Data_Source"/>
      <w:bookmarkEnd w:id="1"/>
      <w:r>
        <w:rPr>
          <w:rFonts w:eastAsiaTheme="minorEastAsia"/>
          <w:lang w:val="en-US"/>
        </w:rPr>
        <w:t xml:space="preserve">The data for Crop Heat Units (CHU) is based upon results detailed in the paper </w:t>
      </w:r>
      <w:proofErr w:type="gramStart"/>
      <w:r>
        <w:rPr>
          <w:rFonts w:eastAsiaTheme="minorEastAsia"/>
          <w:i/>
          <w:lang w:val="en-US"/>
        </w:rPr>
        <w:t>A</w:t>
      </w:r>
      <w:proofErr w:type="gramEnd"/>
      <w:r>
        <w:rPr>
          <w:rFonts w:eastAsiaTheme="minorEastAsia"/>
          <w:i/>
          <w:lang w:val="en-US"/>
        </w:rPr>
        <w:t xml:space="preserve"> re-evaluation of crop heat units in the maritime provinces of Canada</w:t>
      </w:r>
      <w:r>
        <w:rPr>
          <w:rFonts w:eastAsiaTheme="minorEastAsia"/>
          <w:lang w:val="en-US"/>
        </w:rPr>
        <w:t xml:space="preserve"> by A. </w:t>
      </w:r>
      <w:proofErr w:type="spellStart"/>
      <w:r>
        <w:rPr>
          <w:rFonts w:eastAsiaTheme="minorEastAsia"/>
          <w:lang w:val="en-US"/>
        </w:rPr>
        <w:t>Bootsma</w:t>
      </w:r>
      <w:proofErr w:type="spellEnd"/>
      <w:r>
        <w:rPr>
          <w:rFonts w:eastAsiaTheme="minorEastAsia"/>
          <w:lang w:val="en-US"/>
        </w:rPr>
        <w:t xml:space="preserve">, D.W. </w:t>
      </w:r>
      <w:proofErr w:type="spellStart"/>
      <w:r>
        <w:rPr>
          <w:rFonts w:eastAsiaTheme="minorEastAsia"/>
          <w:lang w:val="en-US"/>
        </w:rPr>
        <w:t>McKenney</w:t>
      </w:r>
      <w:proofErr w:type="spellEnd"/>
      <w:r>
        <w:rPr>
          <w:rFonts w:eastAsiaTheme="minorEastAsia"/>
          <w:lang w:val="en-US"/>
        </w:rPr>
        <w:t xml:space="preserve">, D. Anderson and </w:t>
      </w:r>
      <w:proofErr w:type="spellStart"/>
      <w:r>
        <w:rPr>
          <w:rFonts w:eastAsiaTheme="minorEastAsia"/>
          <w:lang w:val="en-US"/>
        </w:rPr>
        <w:t>P.Papadopol</w:t>
      </w:r>
      <w:proofErr w:type="spellEnd"/>
      <w:r>
        <w:rPr>
          <w:rFonts w:eastAsiaTheme="minorEastAsia"/>
          <w:lang w:val="en-US"/>
        </w:rPr>
        <w:t>.  The data was then classified based upon the following criteria:</w:t>
      </w:r>
    </w:p>
    <w:tbl>
      <w:tblPr>
        <w:tblStyle w:val="LightList"/>
        <w:tblW w:w="0" w:type="auto"/>
        <w:tblLook w:val="04A0" w:firstRow="1" w:lastRow="0" w:firstColumn="1" w:lastColumn="0" w:noHBand="0" w:noVBand="1"/>
      </w:tblPr>
      <w:tblGrid>
        <w:gridCol w:w="4788"/>
        <w:gridCol w:w="4788"/>
      </w:tblGrid>
      <w:tr w:rsidR="00BC65F8" w:rsidTr="00BC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t>Growing Degree Days</w:t>
            </w:r>
          </w:p>
        </w:tc>
        <w:tc>
          <w:tcPr>
            <w:tcW w:w="4788" w:type="dxa"/>
          </w:tcPr>
          <w:p w:rsidR="00BC65F8" w:rsidRDefault="00BC65F8" w:rsidP="00DF7150">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Value</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3C"/>
            </w:r>
            <w:r w:rsidR="0003397D">
              <w:rPr>
                <w:rFonts w:eastAsiaTheme="minorEastAsia"/>
                <w:lang w:val="en-US"/>
              </w:rPr>
              <w:t xml:space="preserve"> 2300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1</w:t>
            </w:r>
            <w:r w:rsidR="00F4447A">
              <w:rPr>
                <w:rFonts w:eastAsiaTheme="minorEastAsia"/>
                <w:lang w:val="en-US"/>
              </w:rPr>
              <w:t xml:space="preserve"> </w:t>
            </w:r>
            <w:r w:rsidR="00F4447A" w:rsidRPr="00F4447A">
              <w:rPr>
                <w:rFonts w:eastAsiaTheme="minorEastAsia"/>
                <w:lang w:val="en-US"/>
              </w:rPr>
              <w:t>(Red)</w:t>
            </w:r>
          </w:p>
        </w:tc>
      </w:tr>
      <w:tr w:rsidR="00BC65F8" w:rsidTr="00BC65F8">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B3"/>
            </w:r>
            <w:r w:rsidR="0003397D">
              <w:rPr>
                <w:rFonts w:eastAsiaTheme="minorEastAsia"/>
                <w:lang w:val="en-US"/>
              </w:rPr>
              <w:t xml:space="preserve"> 2300</w:t>
            </w:r>
            <w:r>
              <w:rPr>
                <w:rFonts w:eastAsiaTheme="minorEastAsia"/>
                <w:lang w:val="en-US"/>
              </w:rPr>
              <w:t xml:space="preserve">, </w:t>
            </w:r>
            <w:r>
              <w:rPr>
                <w:rFonts w:eastAsiaTheme="minorEastAsia"/>
                <w:lang w:val="en-US"/>
              </w:rPr>
              <w:sym w:font="Symbol" w:char="F03C"/>
            </w:r>
            <w:r w:rsidR="0003397D">
              <w:rPr>
                <w:rFonts w:eastAsiaTheme="minorEastAsia"/>
                <w:lang w:val="en-US"/>
              </w:rPr>
              <w:t xml:space="preserve"> 2500</w:t>
            </w:r>
          </w:p>
        </w:tc>
        <w:tc>
          <w:tcPr>
            <w:tcW w:w="4788" w:type="dxa"/>
          </w:tcPr>
          <w:p w:rsidR="00BC65F8" w:rsidRDefault="00BC65F8" w:rsidP="00DF7150">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3</w:t>
            </w:r>
            <w:r w:rsidR="00F4447A">
              <w:rPr>
                <w:rFonts w:eastAsiaTheme="minorEastAsia"/>
                <w:lang w:val="en-US"/>
              </w:rPr>
              <w:t xml:space="preserve"> </w:t>
            </w:r>
            <w:r w:rsidR="00F4447A" w:rsidRPr="00F4447A">
              <w:rPr>
                <w:rFonts w:eastAsiaTheme="minorEastAsia"/>
                <w:lang w:val="en-US"/>
              </w:rPr>
              <w:t>(Yellow)</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sidRPr="00BC65F8">
              <w:rPr>
                <w:rFonts w:eastAsiaTheme="minorEastAsia"/>
                <w:lang w:val="en-US"/>
              </w:rPr>
              <w:sym w:font="Symbol" w:char="F0B3"/>
            </w:r>
            <w:r w:rsidR="0003397D">
              <w:rPr>
                <w:rFonts w:eastAsiaTheme="minorEastAsia"/>
                <w:lang w:val="en-US"/>
              </w:rPr>
              <w:t xml:space="preserve"> 2500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5</w:t>
            </w:r>
            <w:r w:rsidR="00F4447A">
              <w:rPr>
                <w:rFonts w:eastAsiaTheme="minorEastAsia"/>
                <w:lang w:val="en-US"/>
              </w:rPr>
              <w:t xml:space="preserve"> </w:t>
            </w:r>
            <w:r w:rsidR="00F4447A" w:rsidRPr="00F4447A">
              <w:rPr>
                <w:rFonts w:eastAsiaTheme="minorEastAsia"/>
                <w:lang w:val="en-US"/>
              </w:rPr>
              <w:t>(Green)</w:t>
            </w:r>
          </w:p>
        </w:tc>
      </w:tr>
    </w:tbl>
    <w:p w:rsidR="00BC65F8" w:rsidRDefault="00BC65F8" w:rsidP="00DF7150">
      <w:pPr>
        <w:rPr>
          <w:rFonts w:eastAsiaTheme="minorEastAsia"/>
          <w:lang w:val="en-US"/>
        </w:rPr>
      </w:pPr>
    </w:p>
    <w:p w:rsidR="00BC65F8" w:rsidRDefault="00BC65F8" w:rsidP="00BC65F8">
      <w:pPr>
        <w:rPr>
          <w:lang w:val="en-US"/>
        </w:rPr>
      </w:pPr>
      <w:r>
        <w:rPr>
          <w:lang w:val="en-US"/>
        </w:rPr>
        <w:br w:type="page"/>
      </w:r>
    </w:p>
    <w:p w:rsidR="002F3A75" w:rsidRDefault="002F3A75" w:rsidP="002F3A75">
      <w:pPr>
        <w:pStyle w:val="Heading1"/>
        <w:rPr>
          <w:lang w:val="en-US"/>
        </w:rPr>
      </w:pPr>
      <w:bookmarkStart w:id="2" w:name="_Toc505775946"/>
      <w:r>
        <w:rPr>
          <w:lang w:val="en-US"/>
        </w:rPr>
        <w:lastRenderedPageBreak/>
        <w:t>Slope</w:t>
      </w:r>
      <w:bookmarkEnd w:id="2"/>
    </w:p>
    <w:p w:rsidR="002F3A75" w:rsidRDefault="002F3A75" w:rsidP="002F3A75">
      <w:pPr>
        <w:rPr>
          <w:lang w:val="en-US"/>
        </w:rPr>
      </w:pPr>
      <w:r>
        <w:rPr>
          <w:lang w:val="en-US"/>
        </w:rPr>
        <w:t xml:space="preserve">The percent slope was calculated from the Province of New Brunswick 10 </w:t>
      </w:r>
      <w:proofErr w:type="spellStart"/>
      <w:r>
        <w:rPr>
          <w:lang w:val="en-US"/>
        </w:rPr>
        <w:t>metre</w:t>
      </w:r>
      <w:proofErr w:type="spellEnd"/>
      <w:r>
        <w:rPr>
          <w:lang w:val="en-US"/>
        </w:rPr>
        <w:t xml:space="preserve"> digital elevation model and classified based 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Percent Slope</w:t>
            </w:r>
          </w:p>
        </w:tc>
        <w:tc>
          <w:tcPr>
            <w:tcW w:w="4788" w:type="dxa"/>
          </w:tcPr>
          <w:p w:rsidR="002F3A75" w:rsidRDefault="002F3A75" w:rsidP="002F3A75">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2%</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F4447A">
              <w:rPr>
                <w:lang w:val="en-US"/>
              </w:rPr>
              <w:t xml:space="preserve"> </w:t>
            </w:r>
            <w:r w:rsidR="00F4447A" w:rsidRPr="00F4447A">
              <w:rPr>
                <w:lang w:val="en-US"/>
              </w:rPr>
              <w:t>(Green)</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 xml:space="preserve">&gt; 2%, </w:t>
            </w:r>
            <w:r>
              <w:rPr>
                <w:lang w:val="en-US"/>
              </w:rPr>
              <w:sym w:font="Symbol" w:char="F0A3"/>
            </w:r>
            <w:r>
              <w:rPr>
                <w:lang w:val="en-US"/>
              </w:rPr>
              <w:t xml:space="preserve"> 5%</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F4447A">
              <w:rPr>
                <w:lang w:val="en-US"/>
              </w:rPr>
              <w:t xml:space="preserve"> </w:t>
            </w:r>
            <w:r w:rsidR="00F4447A" w:rsidRPr="00F4447A">
              <w:rPr>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9%</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F4447A">
              <w:rPr>
                <w:lang w:val="en-US"/>
              </w:rPr>
              <w:t xml:space="preserve"> </w:t>
            </w:r>
            <w:r w:rsidR="00F4447A" w:rsidRPr="00F4447A">
              <w:rPr>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&gt; 9%</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Land unusable</w:t>
            </w:r>
          </w:p>
        </w:tc>
      </w:tr>
    </w:tbl>
    <w:p w:rsidR="002F3A75" w:rsidRPr="002F3A75" w:rsidRDefault="002F3A75" w:rsidP="002F3A75">
      <w:pPr>
        <w:rPr>
          <w:lang w:val="en-US"/>
        </w:rPr>
      </w:pPr>
    </w:p>
    <w:p w:rsidR="00237A31" w:rsidRDefault="00237A31">
      <w:pPr>
        <w:rPr>
          <w:lang w:val="en-US"/>
        </w:rPr>
      </w:pPr>
      <w:r>
        <w:rPr>
          <w:lang w:val="en-US"/>
        </w:rPr>
        <w:br w:type="page"/>
      </w:r>
    </w:p>
    <w:p w:rsidR="00237A31" w:rsidRDefault="00237A31" w:rsidP="00237A31">
      <w:pPr>
        <w:pStyle w:val="Heading1"/>
        <w:rPr>
          <w:lang w:val="en-US"/>
        </w:rPr>
      </w:pPr>
      <w:bookmarkStart w:id="3" w:name="_Toc505775947"/>
      <w:r>
        <w:rPr>
          <w:lang w:val="en-US"/>
        </w:rPr>
        <w:lastRenderedPageBreak/>
        <w:t>Depth to Water Table</w:t>
      </w:r>
      <w:bookmarkEnd w:id="3"/>
    </w:p>
    <w:p w:rsidR="00237A31" w:rsidRDefault="00237A31" w:rsidP="00237A31">
      <w:pPr>
        <w:rPr>
          <w:lang w:val="en-US"/>
        </w:rPr>
      </w:pPr>
      <w:r>
        <w:rPr>
          <w:lang w:val="en-US"/>
        </w:rPr>
        <w:t>Depth to water table was used as a measure of the drainage of the soil within an area.  The depth is the measured depth to the water table at the end of summer.  The data was classified as follows:</w:t>
      </w:r>
    </w:p>
    <w:tbl>
      <w:tblPr>
        <w:tblStyle w:val="LightList"/>
        <w:tblW w:w="0" w:type="auto"/>
        <w:tblLook w:val="04A0" w:firstRow="1" w:lastRow="0" w:firstColumn="1" w:lastColumn="0" w:noHBand="0" w:noVBand="1"/>
      </w:tblPr>
      <w:tblGrid>
        <w:gridCol w:w="4788"/>
        <w:gridCol w:w="4788"/>
      </w:tblGrid>
      <w:tr w:rsidR="00237A31" w:rsidTr="0023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Depth to Water Table</w:t>
            </w:r>
          </w:p>
        </w:tc>
        <w:tc>
          <w:tcPr>
            <w:tcW w:w="4788" w:type="dxa"/>
          </w:tcPr>
          <w:p w:rsidR="00237A31" w:rsidRDefault="00237A31" w:rsidP="00237A31">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37A31"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sym w:font="Symbol" w:char="F0A3"/>
            </w:r>
            <w:r>
              <w:rPr>
                <w:lang w:val="en-US"/>
              </w:rPr>
              <w:t xml:space="preserve"> 10 cm</w:t>
            </w:r>
          </w:p>
        </w:tc>
        <w:tc>
          <w:tcPr>
            <w:tcW w:w="4788" w:type="dxa"/>
          </w:tcPr>
          <w:p w:rsidR="00237A31" w:rsidRDefault="00237A31"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Unusable</w:t>
            </w:r>
            <w:r w:rsidR="001B7416">
              <w:rPr>
                <w:lang w:val="en-US"/>
              </w:rPr>
              <w:t xml:space="preserve"> wetland</w:t>
            </w:r>
          </w:p>
        </w:tc>
      </w:tr>
      <w:tr w:rsidR="00237A31" w:rsidTr="00237A31">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 xml:space="preserve">&gt; 10 cm, </w:t>
            </w:r>
            <w:r>
              <w:rPr>
                <w:lang w:val="en-US"/>
              </w:rPr>
              <w:sym w:font="Symbol" w:char="F0A3"/>
            </w:r>
            <w:r w:rsidR="001B7416">
              <w:rPr>
                <w:lang w:val="en-US"/>
              </w:rPr>
              <w:t xml:space="preserve"> 25 cm</w:t>
            </w:r>
          </w:p>
        </w:tc>
        <w:tc>
          <w:tcPr>
            <w:tcW w:w="4788" w:type="dxa"/>
          </w:tcPr>
          <w:p w:rsidR="00237A31"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F4447A">
              <w:rPr>
                <w:lang w:val="en-US"/>
              </w:rPr>
              <w:t xml:space="preserve"> </w:t>
            </w:r>
            <w:r w:rsidR="00F4447A" w:rsidRPr="00F4447A">
              <w:rPr>
                <w:lang w:val="en-US"/>
              </w:rPr>
              <w:t>(Red)</w:t>
            </w:r>
          </w:p>
        </w:tc>
      </w:tr>
      <w:tr w:rsidR="001B7416"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 xml:space="preserve">&gt; 25 cm, </w:t>
            </w:r>
            <w:r>
              <w:rPr>
                <w:lang w:val="en-US"/>
              </w:rPr>
              <w:sym w:font="Symbol" w:char="F0A3"/>
            </w:r>
            <w:r>
              <w:rPr>
                <w:lang w:val="en-US"/>
              </w:rPr>
              <w:t xml:space="preserve"> 50 cm</w:t>
            </w:r>
          </w:p>
        </w:tc>
        <w:tc>
          <w:tcPr>
            <w:tcW w:w="4788" w:type="dxa"/>
          </w:tcPr>
          <w:p w:rsidR="001B7416" w:rsidRDefault="001B7416"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F4447A">
              <w:rPr>
                <w:lang w:val="en-US"/>
              </w:rPr>
              <w:t xml:space="preserve"> </w:t>
            </w:r>
            <w:r w:rsidR="00F4447A" w:rsidRPr="00F4447A">
              <w:rPr>
                <w:lang w:val="en-US"/>
              </w:rPr>
              <w:t>(Yellow)</w:t>
            </w:r>
          </w:p>
        </w:tc>
      </w:tr>
      <w:tr w:rsidR="001B7416" w:rsidTr="00237A31">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&gt; 50 cm</w:t>
            </w:r>
          </w:p>
        </w:tc>
        <w:tc>
          <w:tcPr>
            <w:tcW w:w="4788" w:type="dxa"/>
          </w:tcPr>
          <w:p w:rsidR="001B7416"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5</w:t>
            </w:r>
            <w:r w:rsidR="00F4447A">
              <w:rPr>
                <w:lang w:val="en-US"/>
              </w:rPr>
              <w:t xml:space="preserve"> </w:t>
            </w:r>
            <w:r w:rsidR="00F4447A" w:rsidRPr="00F4447A">
              <w:rPr>
                <w:lang w:val="en-US"/>
              </w:rPr>
              <w:t>(Green)</w:t>
            </w:r>
          </w:p>
        </w:tc>
      </w:tr>
    </w:tbl>
    <w:p w:rsidR="00237A31" w:rsidRDefault="00237A31" w:rsidP="00237A31">
      <w:pPr>
        <w:rPr>
          <w:lang w:val="en-US"/>
        </w:rPr>
      </w:pPr>
    </w:p>
    <w:p w:rsidR="00237A31" w:rsidRPr="00237A31" w:rsidRDefault="00237A31" w:rsidP="00237A31">
      <w:pPr>
        <w:rPr>
          <w:lang w:val="en-US"/>
        </w:rPr>
      </w:pPr>
      <w:r>
        <w:rPr>
          <w:lang w:val="en-US"/>
        </w:rPr>
        <w:t>This data was supplied to AAF as part of the research carried out by Dr. Paul Arp and Jae Ogilvie of the University of New Brunswick</w:t>
      </w:r>
      <w:r w:rsidR="001B7416">
        <w:rPr>
          <w:lang w:val="en-US"/>
        </w:rPr>
        <w:t xml:space="preserve"> in 2010</w:t>
      </w:r>
      <w:r>
        <w:rPr>
          <w:lang w:val="en-US"/>
        </w:rPr>
        <w:t xml:space="preserve">.  </w:t>
      </w:r>
      <w:r w:rsidR="001B7416">
        <w:rPr>
          <w:lang w:val="en-US"/>
        </w:rPr>
        <w:t>Please contact them for more information about this data.</w:t>
      </w:r>
    </w:p>
    <w:p w:rsidR="001B7416" w:rsidRDefault="001B7416">
      <w:pPr>
        <w:rPr>
          <w:lang w:val="en-US"/>
        </w:rPr>
      </w:pPr>
      <w:r>
        <w:rPr>
          <w:lang w:val="en-US"/>
        </w:rPr>
        <w:br w:type="page"/>
      </w:r>
    </w:p>
    <w:p w:rsidR="001B7416" w:rsidRDefault="001B7416" w:rsidP="001B7416">
      <w:pPr>
        <w:pStyle w:val="Heading1"/>
        <w:rPr>
          <w:lang w:val="en-US"/>
        </w:rPr>
      </w:pPr>
      <w:bookmarkStart w:id="4" w:name="_Toc505775948"/>
      <w:r>
        <w:rPr>
          <w:lang w:val="en-US"/>
        </w:rPr>
        <w:lastRenderedPageBreak/>
        <w:t xml:space="preserve">Chance of Frost </w:t>
      </w:r>
      <w:proofErr w:type="gramStart"/>
      <w:r>
        <w:rPr>
          <w:lang w:val="en-US"/>
        </w:rPr>
        <w:t>After</w:t>
      </w:r>
      <w:proofErr w:type="gramEnd"/>
      <w:r>
        <w:rPr>
          <w:lang w:val="en-US"/>
        </w:rPr>
        <w:t xml:space="preserve"> May 25</w:t>
      </w:r>
      <w:bookmarkEnd w:id="4"/>
    </w:p>
    <w:p w:rsidR="00935CBA" w:rsidRPr="00935CBA" w:rsidRDefault="00BE6EAB" w:rsidP="00935CBA">
      <w:pPr>
        <w:rPr>
          <w:lang w:val="en-US"/>
        </w:rPr>
      </w:pPr>
      <w:r>
        <w:rPr>
          <w:lang w:val="en-US"/>
        </w:rPr>
        <w:t>The chance of frost after May 25 was determined by first finding the latest date in the spring where the lowest temperature is below 0°C</w:t>
      </w:r>
      <w:r w:rsidR="00935CBA">
        <w:rPr>
          <w:lang w:val="en-US"/>
        </w:rPr>
        <w:t xml:space="preserve">. The values were derived from historical data supplied by Environment Canada from 1987 to 2016.  </w:t>
      </w:r>
      <w:r w:rsidR="00935CBA" w:rsidRPr="00935CBA">
        <w:rPr>
          <w:lang w:val="en-US"/>
        </w:rPr>
        <w:t xml:space="preserve">The raw data can be downloaded from </w:t>
      </w:r>
      <w:hyperlink r:id="rId9" w:history="1">
        <w:r w:rsidR="00935CBA" w:rsidRPr="00935CBA">
          <w:rPr>
            <w:rStyle w:val="Hyperlink"/>
            <w:lang w:val="en-US"/>
          </w:rPr>
          <w:t>Environment Canada's Historical Data Site</w:t>
        </w:r>
      </w:hyperlink>
      <w:r w:rsidR="00935CBA" w:rsidRPr="00935CBA">
        <w:rPr>
          <w:lang w:val="en-US"/>
        </w:rPr>
        <w:t>.  The following stations were used for this analysis:</w:t>
      </w:r>
    </w:p>
    <w:p w:rsidR="00935CBA" w:rsidRPr="00935CBA" w:rsidRDefault="00935CBA" w:rsidP="00935CBA">
      <w:pPr>
        <w:numPr>
          <w:ilvl w:val="0"/>
          <w:numId w:val="1"/>
        </w:numPr>
        <w:spacing w:after="0"/>
        <w:rPr>
          <w:lang w:val="en-US"/>
        </w:rPr>
      </w:pPr>
      <w:r w:rsidRPr="00935CBA">
        <w:rPr>
          <w:lang w:val="en-US"/>
        </w:rPr>
        <w:t>Alma;</w:t>
      </w:r>
    </w:p>
    <w:p w:rsidR="00935CBA" w:rsidRPr="00935CBA" w:rsidRDefault="00935CBA" w:rsidP="00935CBA">
      <w:pPr>
        <w:numPr>
          <w:ilvl w:val="0"/>
          <w:numId w:val="1"/>
        </w:numPr>
        <w:spacing w:after="0"/>
        <w:rPr>
          <w:lang w:val="en-US"/>
        </w:rPr>
      </w:pPr>
      <w:r w:rsidRPr="00935CBA">
        <w:rPr>
          <w:lang w:val="en-US"/>
        </w:rPr>
        <w:t>Aroostook;</w:t>
      </w:r>
    </w:p>
    <w:p w:rsidR="00935CBA" w:rsidRPr="00935CBA" w:rsidRDefault="00935CBA" w:rsidP="00935CBA">
      <w:pPr>
        <w:numPr>
          <w:ilvl w:val="0"/>
          <w:numId w:val="1"/>
        </w:numPr>
        <w:spacing w:after="0"/>
        <w:rPr>
          <w:lang w:val="en-US"/>
        </w:rPr>
      </w:pPr>
      <w:r w:rsidRPr="00935CBA">
        <w:rPr>
          <w:lang w:val="en-US"/>
        </w:rPr>
        <w:t>Bathurst;</w:t>
      </w:r>
    </w:p>
    <w:p w:rsidR="00935CBA" w:rsidRPr="00935CBA" w:rsidRDefault="00935CBA" w:rsidP="00935CBA">
      <w:pPr>
        <w:numPr>
          <w:ilvl w:val="0"/>
          <w:numId w:val="1"/>
        </w:numPr>
        <w:spacing w:after="0"/>
        <w:rPr>
          <w:lang w:val="en-US"/>
        </w:rPr>
      </w:pPr>
      <w:proofErr w:type="spellStart"/>
      <w:r w:rsidRPr="00935CBA">
        <w:rPr>
          <w:lang w:val="en-US"/>
        </w:rPr>
        <w:t>Bouctouche</w:t>
      </w:r>
      <w:proofErr w:type="spellEnd"/>
      <w:r w:rsidRPr="00935CBA">
        <w:rPr>
          <w:lang w:val="en-US"/>
        </w:rPr>
        <w:t>;</w:t>
      </w:r>
    </w:p>
    <w:p w:rsidR="00935CBA" w:rsidRPr="00935CBA" w:rsidRDefault="00935CBA" w:rsidP="00935CBA">
      <w:pPr>
        <w:numPr>
          <w:ilvl w:val="0"/>
          <w:numId w:val="1"/>
        </w:numPr>
        <w:spacing w:after="0"/>
        <w:rPr>
          <w:lang w:val="en-US"/>
        </w:rPr>
      </w:pPr>
      <w:proofErr w:type="spellStart"/>
      <w:r w:rsidRPr="00935CBA">
        <w:rPr>
          <w:lang w:val="en-US"/>
        </w:rPr>
        <w:t>Causapscal</w:t>
      </w:r>
      <w:proofErr w:type="spellEnd"/>
      <w:r w:rsidRPr="00935CBA">
        <w:rPr>
          <w:lang w:val="en-US"/>
        </w:rPr>
        <w:t>;</w:t>
      </w:r>
    </w:p>
    <w:p w:rsidR="00935CBA" w:rsidRPr="00935CBA" w:rsidRDefault="00935CBA" w:rsidP="00935CBA">
      <w:pPr>
        <w:numPr>
          <w:ilvl w:val="0"/>
          <w:numId w:val="1"/>
        </w:numPr>
        <w:spacing w:after="0"/>
        <w:rPr>
          <w:lang w:val="en-US"/>
        </w:rPr>
      </w:pPr>
      <w:r w:rsidRPr="00935CBA">
        <w:rPr>
          <w:lang w:val="en-US"/>
        </w:rPr>
        <w:t>Charlo;</w:t>
      </w:r>
    </w:p>
    <w:p w:rsidR="00935CBA" w:rsidRPr="00935CBA" w:rsidRDefault="00935CBA" w:rsidP="00935CBA">
      <w:pPr>
        <w:numPr>
          <w:ilvl w:val="0"/>
          <w:numId w:val="1"/>
        </w:numPr>
        <w:spacing w:after="0"/>
        <w:rPr>
          <w:lang w:val="en-US"/>
        </w:rPr>
      </w:pPr>
      <w:proofErr w:type="spellStart"/>
      <w:r w:rsidRPr="00935CBA">
        <w:rPr>
          <w:lang w:val="en-US"/>
        </w:rPr>
        <w:t>Edmundston</w:t>
      </w:r>
      <w:proofErr w:type="spellEnd"/>
      <w:r w:rsidRPr="00935CBA">
        <w:rPr>
          <w:lang w:val="en-US"/>
        </w:rPr>
        <w:t>;</w:t>
      </w:r>
    </w:p>
    <w:p w:rsidR="00935CBA" w:rsidRPr="00935CBA" w:rsidRDefault="00935CBA" w:rsidP="00935CBA">
      <w:pPr>
        <w:numPr>
          <w:ilvl w:val="0"/>
          <w:numId w:val="1"/>
        </w:numPr>
        <w:spacing w:after="0"/>
        <w:rPr>
          <w:lang w:val="en-US"/>
        </w:rPr>
      </w:pPr>
      <w:r w:rsidRPr="00935CBA">
        <w:rPr>
          <w:lang w:val="en-US"/>
        </w:rPr>
        <w:t>Fredericton;</w:t>
      </w:r>
    </w:p>
    <w:p w:rsidR="00935CBA" w:rsidRPr="00935CBA" w:rsidRDefault="00935CBA" w:rsidP="00935CBA">
      <w:pPr>
        <w:numPr>
          <w:ilvl w:val="0"/>
          <w:numId w:val="1"/>
        </w:numPr>
        <w:spacing w:after="0"/>
        <w:rPr>
          <w:lang w:val="en-US"/>
        </w:rPr>
      </w:pPr>
      <w:r w:rsidRPr="00935CBA">
        <w:rPr>
          <w:lang w:val="en-US"/>
        </w:rPr>
        <w:t>Gagetown;</w:t>
      </w:r>
    </w:p>
    <w:p w:rsidR="00935CBA" w:rsidRPr="00935CBA" w:rsidRDefault="00935CBA" w:rsidP="00935CBA">
      <w:pPr>
        <w:numPr>
          <w:ilvl w:val="0"/>
          <w:numId w:val="1"/>
        </w:numPr>
        <w:spacing w:after="0"/>
        <w:rPr>
          <w:lang w:val="en-US"/>
        </w:rPr>
      </w:pPr>
      <w:r w:rsidRPr="00935CBA">
        <w:rPr>
          <w:lang w:val="en-US"/>
        </w:rPr>
        <w:t>Grand Manan;</w:t>
      </w:r>
    </w:p>
    <w:p w:rsidR="00935CBA" w:rsidRPr="00935CBA" w:rsidRDefault="00935CBA" w:rsidP="00935CBA">
      <w:pPr>
        <w:numPr>
          <w:ilvl w:val="0"/>
          <w:numId w:val="1"/>
        </w:numPr>
        <w:spacing w:after="0"/>
        <w:rPr>
          <w:lang w:val="en-US"/>
        </w:rPr>
      </w:pPr>
      <w:r w:rsidRPr="00935CBA">
        <w:rPr>
          <w:lang w:val="en-US"/>
        </w:rPr>
        <w:t>Juniper;</w:t>
      </w:r>
    </w:p>
    <w:p w:rsidR="00935CBA" w:rsidRPr="00935CBA" w:rsidRDefault="00935CBA" w:rsidP="00935CBA">
      <w:pPr>
        <w:numPr>
          <w:ilvl w:val="0"/>
          <w:numId w:val="1"/>
        </w:numPr>
        <w:spacing w:after="0"/>
        <w:rPr>
          <w:lang w:val="en-US"/>
        </w:rPr>
      </w:pPr>
      <w:proofErr w:type="spellStart"/>
      <w:r w:rsidRPr="00935CBA">
        <w:rPr>
          <w:lang w:val="en-US"/>
        </w:rPr>
        <w:t>Kouchibouguac</w:t>
      </w:r>
      <w:proofErr w:type="spellEnd"/>
      <w:r w:rsidRPr="00935CBA">
        <w:rPr>
          <w:lang w:val="en-US"/>
        </w:rPr>
        <w:t>;</w:t>
      </w:r>
    </w:p>
    <w:p w:rsidR="00935CBA" w:rsidRPr="00935CBA" w:rsidRDefault="00935CBA" w:rsidP="00935CBA">
      <w:pPr>
        <w:numPr>
          <w:ilvl w:val="0"/>
          <w:numId w:val="1"/>
        </w:numPr>
        <w:spacing w:after="0"/>
        <w:rPr>
          <w:lang w:val="en-US"/>
        </w:rPr>
      </w:pPr>
      <w:r w:rsidRPr="00935CBA">
        <w:rPr>
          <w:lang w:val="en-US"/>
        </w:rPr>
        <w:t>Lyons Brook;</w:t>
      </w:r>
    </w:p>
    <w:p w:rsidR="00935CBA" w:rsidRPr="00935CBA" w:rsidRDefault="00935CBA" w:rsidP="00935CBA">
      <w:pPr>
        <w:numPr>
          <w:ilvl w:val="0"/>
          <w:numId w:val="1"/>
        </w:numPr>
        <w:spacing w:after="0"/>
        <w:rPr>
          <w:lang w:val="en-US"/>
        </w:rPr>
      </w:pPr>
      <w:proofErr w:type="spellStart"/>
      <w:r w:rsidRPr="00935CBA">
        <w:rPr>
          <w:lang w:val="en-US"/>
        </w:rPr>
        <w:t>Mactaquac</w:t>
      </w:r>
      <w:proofErr w:type="spellEnd"/>
      <w:r w:rsidRPr="00935CBA">
        <w:rPr>
          <w:lang w:val="en-US"/>
        </w:rPr>
        <w:t>;</w:t>
      </w:r>
    </w:p>
    <w:p w:rsidR="00935CBA" w:rsidRPr="00935CBA" w:rsidRDefault="00935CBA" w:rsidP="00935CBA">
      <w:pPr>
        <w:numPr>
          <w:ilvl w:val="0"/>
          <w:numId w:val="1"/>
        </w:numPr>
        <w:spacing w:after="0"/>
        <w:rPr>
          <w:lang w:val="en-US"/>
        </w:rPr>
      </w:pPr>
      <w:proofErr w:type="spellStart"/>
      <w:r w:rsidRPr="00935CBA">
        <w:rPr>
          <w:lang w:val="en-US"/>
        </w:rPr>
        <w:t>Miramichi</w:t>
      </w:r>
      <w:proofErr w:type="spellEnd"/>
      <w:r w:rsidRPr="00935CBA">
        <w:rPr>
          <w:lang w:val="en-US"/>
        </w:rPr>
        <w:t>;</w:t>
      </w:r>
    </w:p>
    <w:p w:rsidR="00935CBA" w:rsidRPr="00935CBA" w:rsidRDefault="00935CBA" w:rsidP="00935CBA">
      <w:pPr>
        <w:numPr>
          <w:ilvl w:val="0"/>
          <w:numId w:val="1"/>
        </w:numPr>
        <w:spacing w:after="0"/>
        <w:rPr>
          <w:lang w:val="en-US"/>
        </w:rPr>
      </w:pPr>
      <w:proofErr w:type="spellStart"/>
      <w:r w:rsidRPr="00935CBA">
        <w:rPr>
          <w:lang w:val="en-US"/>
        </w:rPr>
        <w:t>Miscou</w:t>
      </w:r>
      <w:proofErr w:type="spellEnd"/>
      <w:r w:rsidRPr="00935CBA">
        <w:rPr>
          <w:lang w:val="en-US"/>
        </w:rPr>
        <w:t xml:space="preserve"> Island;</w:t>
      </w:r>
    </w:p>
    <w:p w:rsidR="00935CBA" w:rsidRPr="00935CBA" w:rsidRDefault="00935CBA" w:rsidP="00935CBA">
      <w:pPr>
        <w:numPr>
          <w:ilvl w:val="0"/>
          <w:numId w:val="1"/>
        </w:numPr>
        <w:spacing w:after="0"/>
        <w:rPr>
          <w:lang w:val="en-US"/>
        </w:rPr>
      </w:pPr>
      <w:r w:rsidRPr="00935CBA">
        <w:rPr>
          <w:lang w:val="en-US"/>
        </w:rPr>
        <w:t>Moncton;</w:t>
      </w:r>
    </w:p>
    <w:p w:rsidR="00935CBA" w:rsidRPr="00935CBA" w:rsidRDefault="00935CBA" w:rsidP="00935CBA">
      <w:pPr>
        <w:numPr>
          <w:ilvl w:val="0"/>
          <w:numId w:val="1"/>
        </w:numPr>
        <w:spacing w:after="0"/>
        <w:rPr>
          <w:lang w:val="en-US"/>
        </w:rPr>
      </w:pPr>
      <w:proofErr w:type="spellStart"/>
      <w:r w:rsidRPr="00935CBA">
        <w:rPr>
          <w:lang w:val="en-US"/>
        </w:rPr>
        <w:t>Nappan</w:t>
      </w:r>
      <w:proofErr w:type="spellEnd"/>
      <w:r w:rsidRPr="00935CBA">
        <w:rPr>
          <w:lang w:val="en-US"/>
        </w:rPr>
        <w:t>;</w:t>
      </w:r>
    </w:p>
    <w:p w:rsidR="00935CBA" w:rsidRPr="00935CBA" w:rsidRDefault="00935CBA" w:rsidP="00935CBA">
      <w:pPr>
        <w:numPr>
          <w:ilvl w:val="0"/>
          <w:numId w:val="1"/>
        </w:numPr>
        <w:spacing w:after="0"/>
        <w:rPr>
          <w:lang w:val="en-US"/>
        </w:rPr>
      </w:pPr>
      <w:proofErr w:type="spellStart"/>
      <w:r w:rsidRPr="00935CBA">
        <w:rPr>
          <w:lang w:val="en-US"/>
        </w:rPr>
        <w:t>Riviere</w:t>
      </w:r>
      <w:proofErr w:type="spellEnd"/>
      <w:r w:rsidRPr="00935CBA">
        <w:rPr>
          <w:lang w:val="en-US"/>
        </w:rPr>
        <w:t xml:space="preserve"> </w:t>
      </w:r>
      <w:proofErr w:type="spellStart"/>
      <w:r w:rsidRPr="00935CBA">
        <w:rPr>
          <w:lang w:val="en-US"/>
        </w:rPr>
        <w:t>Bleue</w:t>
      </w:r>
      <w:proofErr w:type="spellEnd"/>
      <w:r w:rsidRPr="00935CBA">
        <w:rPr>
          <w:lang w:val="en-US"/>
        </w:rPr>
        <w:t>;</w:t>
      </w:r>
    </w:p>
    <w:p w:rsidR="00935CBA" w:rsidRPr="00935CBA" w:rsidRDefault="00935CBA" w:rsidP="00935CBA">
      <w:pPr>
        <w:numPr>
          <w:ilvl w:val="0"/>
          <w:numId w:val="1"/>
        </w:numPr>
        <w:spacing w:after="0"/>
        <w:rPr>
          <w:lang w:val="en-US"/>
        </w:rPr>
      </w:pPr>
      <w:r w:rsidRPr="00935CBA">
        <w:rPr>
          <w:lang w:val="en-US"/>
        </w:rPr>
        <w:t>Saint John;</w:t>
      </w:r>
    </w:p>
    <w:p w:rsidR="00935CBA" w:rsidRPr="00935CBA" w:rsidRDefault="00935CBA" w:rsidP="00935CBA">
      <w:pPr>
        <w:numPr>
          <w:ilvl w:val="0"/>
          <w:numId w:val="1"/>
        </w:numPr>
        <w:spacing w:after="0"/>
        <w:rPr>
          <w:lang w:val="en-US"/>
        </w:rPr>
      </w:pPr>
      <w:r w:rsidRPr="00935CBA">
        <w:rPr>
          <w:lang w:val="en-US"/>
        </w:rPr>
        <w:t>St. Leonard;</w:t>
      </w:r>
    </w:p>
    <w:p w:rsidR="00935CBA" w:rsidRPr="00935CBA" w:rsidRDefault="00935CBA" w:rsidP="00935CBA">
      <w:pPr>
        <w:numPr>
          <w:ilvl w:val="0"/>
          <w:numId w:val="1"/>
        </w:numPr>
        <w:spacing w:after="0"/>
        <w:rPr>
          <w:lang w:val="en-US"/>
        </w:rPr>
      </w:pPr>
      <w:r w:rsidRPr="00935CBA">
        <w:rPr>
          <w:lang w:val="en-US"/>
        </w:rPr>
        <w:t>St. Stephen;</w:t>
      </w:r>
    </w:p>
    <w:p w:rsidR="00935CBA" w:rsidRPr="00935CBA" w:rsidRDefault="00935CBA" w:rsidP="00935CBA">
      <w:pPr>
        <w:numPr>
          <w:ilvl w:val="0"/>
          <w:numId w:val="1"/>
        </w:numPr>
        <w:spacing w:after="0"/>
        <w:rPr>
          <w:lang w:val="en-US"/>
        </w:rPr>
      </w:pPr>
      <w:proofErr w:type="spellStart"/>
      <w:r w:rsidRPr="00935CBA">
        <w:rPr>
          <w:lang w:val="en-US"/>
        </w:rPr>
        <w:t>Summerside</w:t>
      </w:r>
      <w:proofErr w:type="spellEnd"/>
      <w:r w:rsidRPr="00935CBA">
        <w:rPr>
          <w:lang w:val="en-US"/>
        </w:rPr>
        <w:t>;</w:t>
      </w:r>
    </w:p>
    <w:p w:rsidR="00935CBA" w:rsidRPr="00935CBA" w:rsidRDefault="00935CBA" w:rsidP="00935CBA">
      <w:pPr>
        <w:numPr>
          <w:ilvl w:val="0"/>
          <w:numId w:val="1"/>
        </w:numPr>
        <w:spacing w:after="0"/>
        <w:rPr>
          <w:lang w:val="en-US"/>
        </w:rPr>
      </w:pPr>
      <w:r w:rsidRPr="00935CBA">
        <w:rPr>
          <w:lang w:val="en-US"/>
        </w:rPr>
        <w:t xml:space="preserve">Sussex; and </w:t>
      </w:r>
    </w:p>
    <w:p w:rsidR="00935CBA" w:rsidRPr="00935CBA" w:rsidRDefault="00935CBA" w:rsidP="00935CBA">
      <w:pPr>
        <w:numPr>
          <w:ilvl w:val="0"/>
          <w:numId w:val="1"/>
        </w:numPr>
        <w:rPr>
          <w:lang w:val="en-US"/>
        </w:rPr>
      </w:pPr>
      <w:r w:rsidRPr="00935CBA">
        <w:rPr>
          <w:lang w:val="en-US"/>
        </w:rPr>
        <w:t>Woodstock</w:t>
      </w:r>
    </w:p>
    <w:p w:rsidR="00935CBA" w:rsidRPr="00935CBA" w:rsidRDefault="00935CBA" w:rsidP="00935CBA">
      <w:pPr>
        <w:rPr>
          <w:lang w:val="en-US"/>
        </w:rPr>
      </w:pPr>
      <w:r w:rsidRPr="00935CBA">
        <w:rPr>
          <w:lang w:val="en-US"/>
        </w:rPr>
        <w:t>In cases where weather stations had been relocated in the same area, the newest position was used as the location and the data combined to arrive at the values.</w:t>
      </w:r>
    </w:p>
    <w:p w:rsidR="001B7416" w:rsidRDefault="00BE6EAB" w:rsidP="001B7416">
      <w:pPr>
        <w:rPr>
          <w:lang w:val="en-US"/>
        </w:rPr>
      </w:pPr>
      <w:r>
        <w:rPr>
          <w:lang w:val="en-US"/>
        </w:rPr>
        <w:t>These dates were than averaged and the standard deviation over the 30 year per</w:t>
      </w:r>
      <w:r w:rsidR="00C4707D">
        <w:rPr>
          <w:lang w:val="en-US"/>
        </w:rPr>
        <w:t>iod of the data to arrive at an</w:t>
      </w:r>
      <w:r>
        <w:rPr>
          <w:lang w:val="en-US"/>
        </w:rPr>
        <w:t xml:space="preserve"> average date for each weather station</w:t>
      </w:r>
      <w:r w:rsidR="00C4707D">
        <w:rPr>
          <w:lang w:val="en-US"/>
        </w:rPr>
        <w:t>.  The percentage chance was then computed from the Normal distribution to arrive at the percentage chance of frost occurring on or after May 25</w:t>
      </w:r>
      <w:r w:rsidR="00C4707D" w:rsidRPr="00C4707D">
        <w:rPr>
          <w:vertAlign w:val="superscript"/>
          <w:lang w:val="en-US"/>
        </w:rPr>
        <w:t>th</w:t>
      </w:r>
      <w:r w:rsidR="00C4707D">
        <w:rPr>
          <w:lang w:val="en-US"/>
        </w:rPr>
        <w:t xml:space="preserve"> in a given year.  The data was then interpolated over the entire province using </w:t>
      </w:r>
      <w:hyperlink r:id="rId10" w:history="1">
        <w:r w:rsidR="00C4707D" w:rsidRPr="00C4707D">
          <w:rPr>
            <w:rStyle w:val="Hyperlink"/>
            <w:lang w:val="en-US"/>
          </w:rPr>
          <w:t>Inverse Distance Weighting</w:t>
        </w:r>
      </w:hyperlink>
      <w:r w:rsidR="00C4707D">
        <w:rPr>
          <w:lang w:val="en-US"/>
        </w:rPr>
        <w:t xml:space="preserve"> to arrive at measure of the risk of frost for the entire province of New Brunswick.</w:t>
      </w:r>
    </w:p>
    <w:p w:rsidR="00C4707D" w:rsidRDefault="00C4707D" w:rsidP="001B7416">
      <w:pPr>
        <w:rPr>
          <w:lang w:val="en-US"/>
        </w:rPr>
      </w:pPr>
      <w:r>
        <w:rPr>
          <w:lang w:val="en-US"/>
        </w:rPr>
        <w:t>The data was then classified based upon the following criteria:</w:t>
      </w:r>
    </w:p>
    <w:tbl>
      <w:tblPr>
        <w:tblStyle w:val="LightList"/>
        <w:tblW w:w="0" w:type="auto"/>
        <w:tblLook w:val="04A0" w:firstRow="1" w:lastRow="0" w:firstColumn="1" w:lastColumn="0" w:noHBand="0" w:noVBand="1"/>
      </w:tblPr>
      <w:tblGrid>
        <w:gridCol w:w="4788"/>
        <w:gridCol w:w="4788"/>
      </w:tblGrid>
      <w:tr w:rsidR="00C4707D" w:rsidTr="00C47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lastRenderedPageBreak/>
              <w:t>Chance of Frost</w:t>
            </w:r>
          </w:p>
        </w:tc>
        <w:tc>
          <w:tcPr>
            <w:tcW w:w="4788" w:type="dxa"/>
          </w:tcPr>
          <w:p w:rsidR="00C4707D" w:rsidRDefault="00C4707D" w:rsidP="001B7416">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C4707D" w:rsidTr="00C47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t>&gt; 30%</w:t>
            </w:r>
          </w:p>
        </w:tc>
        <w:tc>
          <w:tcPr>
            <w:tcW w:w="4788" w:type="dxa"/>
          </w:tcPr>
          <w:p w:rsidR="00C4707D" w:rsidRDefault="00C4707D" w:rsidP="001B7416">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F4447A">
              <w:rPr>
                <w:lang w:val="en-US"/>
              </w:rPr>
              <w:t xml:space="preserve"> </w:t>
            </w:r>
            <w:r w:rsidR="00F4447A" w:rsidRPr="00F4447A">
              <w:rPr>
                <w:lang w:val="en-US"/>
              </w:rPr>
              <w:t>(Red)</w:t>
            </w:r>
          </w:p>
        </w:tc>
      </w:tr>
      <w:tr w:rsidR="00C4707D" w:rsidTr="00C4707D">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t xml:space="preserve">&gt; 15%, </w:t>
            </w:r>
            <w:r>
              <w:rPr>
                <w:lang w:val="en-US"/>
              </w:rPr>
              <w:sym w:font="Symbol" w:char="F0A3"/>
            </w:r>
            <w:r>
              <w:rPr>
                <w:lang w:val="en-US"/>
              </w:rPr>
              <w:t xml:space="preserve"> 30%</w:t>
            </w:r>
          </w:p>
        </w:tc>
        <w:tc>
          <w:tcPr>
            <w:tcW w:w="4788" w:type="dxa"/>
          </w:tcPr>
          <w:p w:rsidR="00C4707D" w:rsidRDefault="00C4707D" w:rsidP="001B7416">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F4447A">
              <w:rPr>
                <w:lang w:val="en-US"/>
              </w:rPr>
              <w:t xml:space="preserve"> </w:t>
            </w:r>
            <w:r w:rsidR="00F4447A" w:rsidRPr="00F4447A">
              <w:rPr>
                <w:lang w:val="en-US"/>
              </w:rPr>
              <w:t>(Yellow)</w:t>
            </w:r>
          </w:p>
        </w:tc>
      </w:tr>
      <w:tr w:rsidR="00C4707D" w:rsidTr="00C47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sym w:font="Symbol" w:char="F0A3"/>
            </w:r>
            <w:r>
              <w:rPr>
                <w:lang w:val="en-US"/>
              </w:rPr>
              <w:t xml:space="preserve"> 15%</w:t>
            </w:r>
          </w:p>
        </w:tc>
        <w:tc>
          <w:tcPr>
            <w:tcW w:w="4788" w:type="dxa"/>
          </w:tcPr>
          <w:p w:rsidR="00C4707D" w:rsidRDefault="00C4707D" w:rsidP="001B7416">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F4447A">
              <w:rPr>
                <w:lang w:val="en-US"/>
              </w:rPr>
              <w:t xml:space="preserve"> </w:t>
            </w:r>
            <w:r w:rsidR="00F4447A" w:rsidRPr="00F4447A">
              <w:rPr>
                <w:lang w:val="en-US"/>
              </w:rPr>
              <w:t>(Green)</w:t>
            </w:r>
          </w:p>
        </w:tc>
      </w:tr>
    </w:tbl>
    <w:p w:rsidR="00C4707D" w:rsidRPr="001B7416" w:rsidRDefault="00C4707D" w:rsidP="001B7416">
      <w:pPr>
        <w:rPr>
          <w:lang w:val="en-US"/>
        </w:rPr>
      </w:pPr>
    </w:p>
    <w:p w:rsidR="002F3A75" w:rsidRDefault="002F3A75" w:rsidP="00BC65F8">
      <w:pPr>
        <w:rPr>
          <w:lang w:val="en-US"/>
        </w:rPr>
      </w:pPr>
      <w:r>
        <w:rPr>
          <w:lang w:val="en-US"/>
        </w:rPr>
        <w:br w:type="page"/>
      </w:r>
    </w:p>
    <w:p w:rsidR="00BC65F8" w:rsidRDefault="00BC65F8" w:rsidP="00BC65F8">
      <w:pPr>
        <w:pStyle w:val="Heading1"/>
        <w:rPr>
          <w:rFonts w:eastAsiaTheme="minorEastAsia"/>
          <w:lang w:val="en-US"/>
        </w:rPr>
      </w:pPr>
      <w:bookmarkStart w:id="5" w:name="_Toc505775949"/>
      <w:r>
        <w:rPr>
          <w:rFonts w:eastAsiaTheme="minorEastAsia"/>
          <w:lang w:val="en-US"/>
        </w:rPr>
        <w:lastRenderedPageBreak/>
        <w:t>Final Analysis</w:t>
      </w:r>
      <w:bookmarkEnd w:id="5"/>
    </w:p>
    <w:p w:rsidR="00BC65F8" w:rsidRDefault="00BC65F8" w:rsidP="00BC65F8">
      <w:pPr>
        <w:rPr>
          <w:lang w:val="en-US"/>
        </w:rPr>
      </w:pPr>
      <w:r>
        <w:rPr>
          <w:lang w:val="en-US"/>
        </w:rPr>
        <w:t>The categorized values from the previous sections were then combined to arrive at a final classification of sites via the formula</w:t>
      </w:r>
    </w:p>
    <w:p w:rsidR="00BC65F8" w:rsidRPr="002F3A75" w:rsidRDefault="00BC65F8" w:rsidP="00BC65F8">
      <w:pPr>
        <w:rPr>
          <w:rFonts w:eastAsiaTheme="minorEastAsia"/>
          <w:lang w:val="en-US"/>
        </w:rPr>
      </w:pPr>
      <m:oMathPara>
        <m:oMath>
          <m:r>
            <w:rPr>
              <w:rFonts w:ascii="Cambria Math" w:hAnsi="Cambria Math"/>
              <w:lang w:val="en-US"/>
            </w:rPr>
            <m:t>V=</m:t>
          </m:r>
          <m:d>
            <m:dPr>
              <m:ctrlPr>
                <w:rPr>
                  <w:rFonts w:ascii="Cambria Math" w:hAnsi="Cambria Math"/>
                  <w:i/>
                  <w:lang w:val="en-US"/>
                </w:rPr>
              </m:ctrlPr>
            </m:dPr>
            <m:e>
              <m:r>
                <w:rPr>
                  <w:rFonts w:ascii="Cambria Math" w:hAnsi="Cambria Math"/>
                  <w:lang w:val="en-US"/>
                </w:rPr>
                <m:t>0.9*D</m:t>
              </m:r>
            </m:e>
          </m:d>
          <m:r>
            <w:rPr>
              <w:rFonts w:ascii="Cambria Math" w:hAnsi="Cambria Math"/>
              <w:lang w:val="en-US"/>
            </w:rPr>
            <m:t>*</m:t>
          </m:r>
          <m:d>
            <m:dPr>
              <m:ctrlPr>
                <w:rPr>
                  <w:rFonts w:ascii="Cambria Math" w:hAnsi="Cambria Math"/>
                  <w:i/>
                  <w:lang w:val="en-US"/>
                </w:rPr>
              </m:ctrlPr>
            </m:dPr>
            <m:e>
              <m:r>
                <w:rPr>
                  <w:rFonts w:ascii="Cambria Math" w:hAnsi="Cambria Math"/>
                  <w:lang w:val="en-US"/>
                </w:rPr>
                <m:t>0.1*S</m:t>
              </m:r>
            </m:e>
          </m:d>
          <m:r>
            <w:rPr>
              <w:rFonts w:ascii="Cambria Math" w:hAnsi="Cambria Math"/>
              <w:lang w:val="en-US"/>
            </w:rPr>
            <m:t>*CHU*F</m:t>
          </m:r>
        </m:oMath>
      </m:oMathPara>
    </w:p>
    <w:p w:rsidR="002F3A75" w:rsidRDefault="002F3A75" w:rsidP="00BC65F8">
      <w:pPr>
        <w:rPr>
          <w:rFonts w:eastAsiaTheme="minorEastAsia"/>
          <w:lang w:val="en-US"/>
        </w:rPr>
      </w:pPr>
      <w:r>
        <w:rPr>
          <w:rFonts w:eastAsiaTheme="minorEastAsia"/>
          <w:lang w:val="en-US"/>
        </w:rPr>
        <w:t>Where</w:t>
      </w:r>
    </w:p>
    <w:p w:rsidR="002F3A75" w:rsidRPr="002F3A75" w:rsidRDefault="002F3A75" w:rsidP="00BC65F8">
      <w:pPr>
        <w:rPr>
          <w:rFonts w:eastAsiaTheme="minorEastAsia"/>
          <w:lang w:val="en-US"/>
        </w:rPr>
      </w:pPr>
      <m:oMath>
        <m:r>
          <w:rPr>
            <w:rFonts w:ascii="Cambria Math" w:eastAsiaTheme="minorEastAsia" w:hAnsi="Cambria Math"/>
            <w:lang w:val="en-US"/>
          </w:rPr>
          <m:t>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Depth to Water Table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S</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 xml:space="preserve"> Slope</m:t>
        </m:r>
      </m:oMath>
      <w:r>
        <w:rPr>
          <w:rFonts w:eastAsiaTheme="minorEastAsia"/>
          <w:lang w:val="en-US"/>
        </w:rPr>
        <w:t xml:space="preserve"> </w:t>
      </w:r>
    </w:p>
    <w:p w:rsidR="002F3A75" w:rsidRPr="002F3A75" w:rsidRDefault="0003397D" w:rsidP="00BC65F8">
      <w:pPr>
        <w:rPr>
          <w:rFonts w:eastAsiaTheme="minorEastAsia"/>
          <w:lang w:val="en-US"/>
        </w:rPr>
      </w:pPr>
      <m:oMath>
        <m:r>
          <w:rPr>
            <w:rFonts w:ascii="Cambria Math" w:eastAsiaTheme="minorEastAsia" w:hAnsi="Cambria Math"/>
            <w:lang w:val="en-US"/>
          </w:rPr>
          <m:t>CHU</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Crop Heat Units</m:t>
        </m:r>
      </m:oMath>
      <w:r w:rsidR="002F3A75">
        <w:rPr>
          <w:rFonts w:eastAsiaTheme="minorEastAsia"/>
          <w:lang w:val="en-US"/>
        </w:rPr>
        <w:t xml:space="preserve"> </w:t>
      </w:r>
    </w:p>
    <w:p w:rsidR="002F3A75" w:rsidRDefault="002F3A75" w:rsidP="00BC65F8">
      <w:pPr>
        <w:rPr>
          <w:rFonts w:eastAsiaTheme="minorEastAsia"/>
          <w:lang w:val="en-US"/>
        </w:rPr>
      </w:pPr>
      <m:oMath>
        <m:r>
          <w:rPr>
            <w:rFonts w:ascii="Cambria Math" w:eastAsiaTheme="minorEastAsia" w:hAnsi="Cambria Math"/>
            <w:lang w:val="en-US"/>
          </w:rPr>
          <m:t>F</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Chance of Frost after May 25</m:t>
        </m:r>
      </m:oMath>
      <w:r>
        <w:rPr>
          <w:rFonts w:eastAsiaTheme="minorEastAsia"/>
          <w:lang w:val="en-US"/>
        </w:rPr>
        <w:t xml:space="preserve"> </w:t>
      </w:r>
    </w:p>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The resultant values were than classified based upon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t>Value</w:t>
            </w:r>
          </w:p>
        </w:tc>
        <w:tc>
          <w:tcPr>
            <w:tcW w:w="4788" w:type="dxa"/>
          </w:tcPr>
          <w:p w:rsidR="002F3A75" w:rsidRDefault="002F3A75" w:rsidP="00BC65F8">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Classification</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3C"/>
            </w:r>
            <w:r>
              <w:rPr>
                <w:rFonts w:eastAsiaTheme="minorEastAsia"/>
                <w:lang w:val="en-US"/>
              </w:rPr>
              <w:t xml:space="preserve"> 7</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Poor</w:t>
            </w:r>
            <w:r w:rsidR="00F4447A">
              <w:rPr>
                <w:rFonts w:eastAsiaTheme="minorEastAsia"/>
                <w:lang w:val="en-US"/>
              </w:rPr>
              <w:t xml:space="preserve"> </w:t>
            </w:r>
            <w:r w:rsidR="00F4447A" w:rsidRPr="00F4447A">
              <w:rPr>
                <w:rFonts w:eastAsiaTheme="minorEastAsia"/>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Pr>
                <w:rFonts w:eastAsiaTheme="minorEastAsia"/>
                <w:lang w:val="en-US"/>
              </w:rPr>
              <w:t xml:space="preserve"> 7, </w:t>
            </w:r>
            <w:r>
              <w:rPr>
                <w:rFonts w:eastAsiaTheme="minorEastAsia"/>
                <w:lang w:val="en-US"/>
              </w:rPr>
              <w:sym w:font="Symbol" w:char="F03C"/>
            </w:r>
            <w:r>
              <w:rPr>
                <w:rFonts w:eastAsiaTheme="minorEastAsia"/>
                <w:lang w:val="en-US"/>
              </w:rPr>
              <w:t xml:space="preserve"> 20.5</w:t>
            </w:r>
          </w:p>
        </w:tc>
        <w:tc>
          <w:tcPr>
            <w:tcW w:w="4788" w:type="dxa"/>
          </w:tcPr>
          <w:p w:rsidR="002F3A75" w:rsidRDefault="002F3A75" w:rsidP="00BC65F8">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Fair</w:t>
            </w:r>
            <w:r w:rsidR="00F4447A">
              <w:rPr>
                <w:rFonts w:eastAsiaTheme="minorEastAsia"/>
                <w:lang w:val="en-US"/>
              </w:rPr>
              <w:t xml:space="preserve"> </w:t>
            </w:r>
            <w:r w:rsidR="00F4447A" w:rsidRPr="00F4447A">
              <w:rPr>
                <w:rFonts w:eastAsiaTheme="minorEastAsia"/>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Pr>
                <w:rFonts w:eastAsiaTheme="minorEastAsia"/>
                <w:lang w:val="en-US"/>
              </w:rPr>
              <w:t xml:space="preserve"> 20.5</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Good</w:t>
            </w:r>
            <w:r w:rsidR="00F4447A">
              <w:rPr>
                <w:rFonts w:eastAsiaTheme="minorEastAsia"/>
                <w:lang w:val="en-US"/>
              </w:rPr>
              <w:t xml:space="preserve"> </w:t>
            </w:r>
            <w:r w:rsidR="00F4447A" w:rsidRPr="00F4447A">
              <w:rPr>
                <w:rFonts w:eastAsiaTheme="minorEastAsia"/>
                <w:lang w:val="en-US"/>
              </w:rPr>
              <w:t>(Green)</w:t>
            </w:r>
            <w:bookmarkStart w:id="6" w:name="_GoBack"/>
            <w:bookmarkEnd w:id="6"/>
          </w:p>
        </w:tc>
      </w:tr>
    </w:tbl>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Finally, the following areas were removed from the results because the land would not be available for agriculture under any circumstance:</w:t>
      </w:r>
    </w:p>
    <w:p w:rsidR="002F3A75" w:rsidRDefault="002F3A75" w:rsidP="002F3A75">
      <w:pPr>
        <w:pStyle w:val="ListParagraph"/>
        <w:numPr>
          <w:ilvl w:val="0"/>
          <w:numId w:val="2"/>
        </w:numPr>
        <w:rPr>
          <w:rFonts w:eastAsiaTheme="minorEastAsia"/>
          <w:lang w:val="en-US"/>
        </w:rPr>
      </w:pPr>
      <w:r>
        <w:rPr>
          <w:rFonts w:eastAsiaTheme="minorEastAsia"/>
          <w:lang w:val="en-US"/>
        </w:rPr>
        <w:t>National and Provincial Parks;</w:t>
      </w:r>
    </w:p>
    <w:p w:rsidR="002F3A75" w:rsidRDefault="002F3A75" w:rsidP="002F3A75">
      <w:pPr>
        <w:pStyle w:val="ListParagraph"/>
        <w:numPr>
          <w:ilvl w:val="0"/>
          <w:numId w:val="2"/>
        </w:numPr>
        <w:rPr>
          <w:rFonts w:eastAsiaTheme="minorEastAsia"/>
          <w:lang w:val="en-US"/>
        </w:rPr>
      </w:pPr>
      <w:r>
        <w:rPr>
          <w:rFonts w:eastAsiaTheme="minorEastAsia"/>
          <w:lang w:val="en-US"/>
        </w:rPr>
        <w:t>Protected Natural Areas;</w:t>
      </w:r>
    </w:p>
    <w:p w:rsidR="002F3A75" w:rsidRDefault="002F3A75" w:rsidP="002F3A75">
      <w:pPr>
        <w:pStyle w:val="ListParagraph"/>
        <w:numPr>
          <w:ilvl w:val="0"/>
          <w:numId w:val="2"/>
        </w:numPr>
        <w:rPr>
          <w:rFonts w:eastAsiaTheme="minorEastAsia"/>
          <w:lang w:val="en-US"/>
        </w:rPr>
      </w:pPr>
      <w:r>
        <w:rPr>
          <w:rFonts w:eastAsiaTheme="minorEastAsia"/>
          <w:lang w:val="en-US"/>
        </w:rPr>
        <w:t>Military Bases;</w:t>
      </w:r>
    </w:p>
    <w:p w:rsidR="002F3A75" w:rsidRDefault="002F3A75" w:rsidP="002F3A75">
      <w:pPr>
        <w:pStyle w:val="ListParagraph"/>
        <w:numPr>
          <w:ilvl w:val="0"/>
          <w:numId w:val="2"/>
        </w:numPr>
        <w:rPr>
          <w:rFonts w:eastAsiaTheme="minorEastAsia"/>
          <w:lang w:val="en-US"/>
        </w:rPr>
      </w:pPr>
      <w:r>
        <w:rPr>
          <w:rFonts w:eastAsiaTheme="minorEastAsia"/>
          <w:lang w:val="en-US"/>
        </w:rPr>
        <w:t>Federal Land; and</w:t>
      </w:r>
    </w:p>
    <w:p w:rsidR="002F3A75" w:rsidRPr="002F3A75" w:rsidRDefault="002F3A75" w:rsidP="002F3A75">
      <w:pPr>
        <w:pStyle w:val="ListParagraph"/>
        <w:numPr>
          <w:ilvl w:val="0"/>
          <w:numId w:val="2"/>
        </w:numPr>
        <w:rPr>
          <w:rFonts w:eastAsiaTheme="minorEastAsia"/>
          <w:lang w:val="en-US"/>
        </w:rPr>
      </w:pPr>
      <w:r>
        <w:rPr>
          <w:rFonts w:eastAsiaTheme="minorEastAsia"/>
          <w:lang w:val="en-US"/>
        </w:rPr>
        <w:t>First Nations Communities.</w:t>
      </w:r>
    </w:p>
    <w:sectPr w:rsidR="002F3A75" w:rsidRPr="002F3A7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0C" w:rsidRDefault="005C740C" w:rsidP="00404EEA">
      <w:pPr>
        <w:spacing w:after="0" w:line="240" w:lineRule="auto"/>
      </w:pPr>
      <w:r>
        <w:separator/>
      </w:r>
    </w:p>
  </w:endnote>
  <w:endnote w:type="continuationSeparator" w:id="0">
    <w:p w:rsidR="005C740C" w:rsidRDefault="005C740C" w:rsidP="0040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2305"/>
      <w:docPartObj>
        <w:docPartGallery w:val="Page Numbers (Bottom of Page)"/>
        <w:docPartUnique/>
      </w:docPartObj>
    </w:sdtPr>
    <w:sdtEndPr>
      <w:rPr>
        <w:color w:val="808080" w:themeColor="background1" w:themeShade="80"/>
        <w:spacing w:val="60"/>
      </w:rPr>
    </w:sdtEndPr>
    <w:sdtContent>
      <w:p w:rsidR="00404EEA" w:rsidRDefault="00404E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447A">
          <w:rPr>
            <w:noProof/>
          </w:rPr>
          <w:t>6</w:t>
        </w:r>
        <w:r>
          <w:rPr>
            <w:noProof/>
          </w:rPr>
          <w:fldChar w:fldCharType="end"/>
        </w:r>
        <w:r>
          <w:t xml:space="preserve"> | </w:t>
        </w:r>
        <w:r>
          <w:rPr>
            <w:color w:val="808080" w:themeColor="background1" w:themeShade="80"/>
            <w:spacing w:val="60"/>
          </w:rPr>
          <w:t>Page</w:t>
        </w:r>
      </w:p>
    </w:sdtContent>
  </w:sdt>
  <w:p w:rsidR="00404EEA" w:rsidRDefault="0040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0C" w:rsidRDefault="005C740C" w:rsidP="00404EEA">
      <w:pPr>
        <w:spacing w:after="0" w:line="240" w:lineRule="auto"/>
      </w:pPr>
      <w:r>
        <w:separator/>
      </w:r>
    </w:p>
  </w:footnote>
  <w:footnote w:type="continuationSeparator" w:id="0">
    <w:p w:rsidR="005C740C" w:rsidRDefault="005C740C" w:rsidP="0040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5E"/>
    <w:multiLevelType w:val="hybridMultilevel"/>
    <w:tmpl w:val="31E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196A"/>
    <w:multiLevelType w:val="hybridMultilevel"/>
    <w:tmpl w:val="66F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2"/>
    <w:rsid w:val="0003397D"/>
    <w:rsid w:val="000E446F"/>
    <w:rsid w:val="001B7416"/>
    <w:rsid w:val="00237A31"/>
    <w:rsid w:val="002C5B7F"/>
    <w:rsid w:val="002F3A75"/>
    <w:rsid w:val="00404EEA"/>
    <w:rsid w:val="005C4156"/>
    <w:rsid w:val="005C740C"/>
    <w:rsid w:val="006E43C8"/>
    <w:rsid w:val="007A43B9"/>
    <w:rsid w:val="007C7038"/>
    <w:rsid w:val="008A709B"/>
    <w:rsid w:val="00935CBA"/>
    <w:rsid w:val="00987CD0"/>
    <w:rsid w:val="00AF6E8F"/>
    <w:rsid w:val="00BC65F8"/>
    <w:rsid w:val="00BE6EAB"/>
    <w:rsid w:val="00C262DF"/>
    <w:rsid w:val="00C4707D"/>
    <w:rsid w:val="00C55692"/>
    <w:rsid w:val="00DF7150"/>
    <w:rsid w:val="00E55A67"/>
    <w:rsid w:val="00EF7445"/>
    <w:rsid w:val="00F27861"/>
    <w:rsid w:val="00F4447A"/>
    <w:rsid w:val="00F7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arcgis.com/en/pro-app/help/analysis/geostatistical-analyst/how-inverse-distance-weighted-interpolation-works.htm" TargetMode="External"/><Relationship Id="rId4" Type="http://schemas.microsoft.com/office/2007/relationships/stylesWithEffects" Target="stylesWithEffects.xml"/><Relationship Id="rId9" Type="http://schemas.openxmlformats.org/officeDocument/2006/relationships/hyperlink" Target="http://climate.weather.gc.ca/historical_data/search_historic_data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094F-E222-425E-B4F0-23426104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Langridge, Clark   (DNR/MRN)</dc:creator>
  <cp:lastModifiedBy>Langridge, Clark   (DNR/MRN)</cp:lastModifiedBy>
  <cp:revision>6</cp:revision>
  <dcterms:created xsi:type="dcterms:W3CDTF">2018-02-02T18:36:00Z</dcterms:created>
  <dcterms:modified xsi:type="dcterms:W3CDTF">2018-04-10T18:13:00Z</dcterms:modified>
</cp:coreProperties>
</file>